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E5E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新技术推广应用申请注意事项</w:t>
      </w:r>
    </w:p>
    <w:p w14:paraId="3D8C43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lang w:val="en-US" w:eastAsia="zh-CN"/>
        </w:rPr>
      </w:pPr>
    </w:p>
    <w:p w14:paraId="5B86B183">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outlineLvl w:val="0"/>
        <w:rPr>
          <w:rFonts w:hint="default" w:ascii="黑体" w:hAnsi="黑体" w:eastAsia="黑体" w:cs="黑体"/>
          <w:b/>
          <w:bCs/>
          <w:lang w:val="en-US" w:eastAsia="zh-CN"/>
        </w:rPr>
      </w:pPr>
      <w:r>
        <w:rPr>
          <w:rFonts w:hint="eastAsia" w:ascii="黑体" w:hAnsi="黑体" w:eastAsia="黑体" w:cs="黑体"/>
          <w:b/>
          <w:bCs/>
          <w:lang w:val="en-US" w:eastAsia="zh-CN"/>
        </w:rPr>
        <w:t>必要条件</w:t>
      </w:r>
    </w:p>
    <w:p w14:paraId="62F472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（一）申报新技术推广应用评审应满足以下条件：</w:t>
      </w:r>
    </w:p>
    <w:p w14:paraId="2CDA00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b/>
          <w:bCs/>
          <w:sz w:val="32"/>
          <w:szCs w:val="32"/>
          <w:lang w:val="en-US" w:eastAsia="zh-CN"/>
        </w:rPr>
        <w:t>1.通过推广应用前置审查</w:t>
      </w:r>
      <w:r>
        <w:rPr>
          <w:rFonts w:hint="eastAsia" w:ascii="仿宋" w:hAnsi="仿宋" w:cs="仿宋"/>
          <w:sz w:val="32"/>
          <w:szCs w:val="32"/>
          <w:lang w:val="en-US" w:eastAsia="zh-CN"/>
        </w:rPr>
        <w:t>，纳入公司推广应用储备库。</w:t>
      </w:r>
    </w:p>
    <w:p w14:paraId="507EC7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b/>
          <w:bCs/>
          <w:sz w:val="32"/>
          <w:szCs w:val="32"/>
          <w:lang w:val="en-US" w:eastAsia="zh-CN"/>
        </w:rPr>
        <w:t>2.完成新</w:t>
      </w:r>
      <w:bookmarkStart w:id="0" w:name="_GoBack"/>
      <w:r>
        <w:rPr>
          <w:rFonts w:hint="eastAsia" w:ascii="仿宋" w:hAnsi="仿宋" w:cs="仿宋"/>
          <w:b/>
          <w:bCs/>
          <w:sz w:val="32"/>
          <w:szCs w:val="32"/>
          <w:lang w:val="en-US" w:eastAsia="zh-CN"/>
        </w:rPr>
        <w:t>产品</w:t>
      </w:r>
      <w:bookmarkEnd w:id="0"/>
      <w:r>
        <w:rPr>
          <w:rFonts w:hint="eastAsia" w:ascii="仿宋" w:hAnsi="仿宋" w:cs="仿宋"/>
          <w:b/>
          <w:bCs/>
          <w:sz w:val="32"/>
          <w:szCs w:val="32"/>
          <w:lang w:val="en-US" w:eastAsia="zh-CN"/>
        </w:rPr>
        <w:t>鉴定</w:t>
      </w:r>
      <w:r>
        <w:rPr>
          <w:rFonts w:hint="eastAsia" w:ascii="仿宋" w:hAnsi="仿宋" w:cs="仿宋"/>
          <w:sz w:val="32"/>
          <w:szCs w:val="32"/>
          <w:lang w:val="en-US" w:eastAsia="zh-CN"/>
        </w:rPr>
        <w:t>。应具备由中国机械工业联合会、中国电力企业联合会、中国电机工程学会等行业协会，省级政府机构或其认可的省级行业协会组织（省属机械工业联合会、省属电机工程学会等）出具的新产品鉴定报告。对安全生产影响较小的工器具类新技术，可不开展新产品鉴定。</w:t>
      </w:r>
    </w:p>
    <w:p w14:paraId="62024FE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3.技术具有一定的创新性，技术质量、服务水平等综合指标国内领先，对电网发展、技术进步以及对国民经济和社会发展具有显著的作用和效益。</w:t>
      </w:r>
    </w:p>
    <w:p w14:paraId="5199E9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4.新技术的全生命周期技术标准应齐备完善（含技术标准、典型设计、技术规范书、运维规程、作业标准等）。</w:t>
      </w:r>
    </w:p>
    <w:p w14:paraId="72734372">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lang w:val="en-US" w:eastAsia="zh-CN"/>
        </w:rPr>
      </w:pPr>
      <w:r>
        <w:rPr>
          <w:rFonts w:hint="eastAsia" w:ascii="黑体" w:hAnsi="黑体" w:eastAsia="黑体" w:cs="黑体"/>
          <w:b/>
          <w:bCs/>
          <w:lang w:val="en-US" w:eastAsia="zh-CN"/>
        </w:rPr>
        <w:t>工作流程</w:t>
      </w:r>
    </w:p>
    <w:p w14:paraId="2E34C3CA">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推广应用评审</w:t>
      </w:r>
    </w:p>
    <w:p w14:paraId="3E895EF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是指对新产品挂网试运行总结、劳动生产率提升、技术先进性、安全性分析、经济性分析、标准评估、应用前景等进行评价：</w:t>
      </w:r>
    </w:p>
    <w:p w14:paraId="7316D9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1.试运行总结应分析新产品挂网试运行期间故障、缺陷、风险隐患等，对总体运行情况进行总结。</w:t>
      </w:r>
    </w:p>
    <w:p w14:paraId="1707FD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2.劳动生产率提升，分析应用该新技术对提高劳动生产率的作用，从降低人工成本、提高生产效率等方面进行评估。</w:t>
      </w:r>
    </w:p>
    <w:p w14:paraId="4EA35F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3.技术先进性包括新技术原理及先进性说明、关键性能指标说明、应用领域及功能说明等。</w:t>
      </w:r>
    </w:p>
    <w:p w14:paraId="63AB228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4.安全性分析主要从人身、电网、设备、网络安全等方面分析新技术的安全风险。</w:t>
      </w:r>
    </w:p>
    <w:p w14:paraId="5134E54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5.经济性分析主要与现有成熟技术比较，从造价、全生命周期使用成本等方面评估；对于无同类技术的，应重点分析成本、利润情况。</w:t>
      </w:r>
    </w:p>
    <w:p w14:paraId="5BEB6B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6.标准评估主要评估新技术的全生命周期技术标准是否齐备完善（含技术标准、典型设计、技术规范书、运维规程、作业标准等）。</w:t>
      </w:r>
    </w:p>
    <w:p w14:paraId="225B1E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7.应用前景主要从技术成熟性、应用规模、效果情况等评价应用的前景。</w:t>
      </w:r>
    </w:p>
    <w:p w14:paraId="47E8DF0D">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二推广应用</w:t>
      </w:r>
    </w:p>
    <w:p w14:paraId="3B1A64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《推广应用目录》在完成公示环节后，面向社会进行发布，引导社会企业及创新主体参与公司亟需的新技术研发及成果转化。</w:t>
      </w:r>
    </w:p>
    <w:p w14:paraId="009FB4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公司输配电与储能部门建立推广应用引导指标，对属于公司重大攻关、国产化替代应用等重大成果的，完善推广应用策略及计划，促进重点成果的早推广、早见效。公司各级单位按照“安全第一、分步实施、有序推进”的原则，依照技术标准、作业标准、采购标准、型号版本通过清单、物资采购目录等，在充分评估人员培训和技能掌控情况下，进一步做好技术经济分析，结合各单位的经营情况和资源投入能力，开展推广应用。</w:t>
      </w:r>
    </w:p>
    <w:p w14:paraId="21178D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推广应用实施过程中，新技术自身引起的事故事件，按公司安全事故调查规程等相关规定处理。对在应用过程中导致事故事件的新技术供应商，由供应链管理部门按规定实施警告或退出机制。</w:t>
      </w:r>
    </w:p>
    <w:p w14:paraId="6EC63A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公司各级生产技术部门应定期组织开展本单位的新技术推广应用交流工作，通报新技术推广应用情况，分析存在问题，完善应用措施。</w:t>
      </w:r>
    </w:p>
    <w:p w14:paraId="61E91D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各单位应总结分析新技术推广应用实践情况，理顺新技术采购流程，及时用安全、可靠、经济、高效的新技术替换淘汰技术，促进技术和装备的更新换代，提高电网安全水平。</w:t>
      </w:r>
    </w:p>
    <w:p w14:paraId="06FBBE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default"/>
          <w:lang w:val="en-US" w:eastAsia="zh-CN"/>
        </w:rPr>
      </w:pPr>
      <w:r>
        <w:rPr>
          <w:rFonts w:hint="eastAsia" w:ascii="仿宋" w:hAnsi="仿宋" w:cs="仿宋"/>
          <w:sz w:val="32"/>
          <w:szCs w:val="32"/>
          <w:lang w:val="en-US" w:eastAsia="zh-CN"/>
        </w:rPr>
        <w:t>各分子公司应在新技术纳入推广应用目录后第三年，对新技术的推广应用和运行情况进行总结，并在次年1月15日前将评价结果报送公司输配电与储能部门及专业业务部门。根据后评价结果，对于不再适宜推广应用的新技术实施退出机制，在新版推广应用目录明确予以退出。</w:t>
      </w:r>
    </w:p>
    <w:p w14:paraId="093C8547">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lang w:val="en-US" w:eastAsia="zh-CN"/>
        </w:rPr>
      </w:pPr>
      <w:r>
        <w:rPr>
          <w:rFonts w:hint="eastAsia" w:ascii="黑体" w:hAnsi="黑体" w:eastAsia="黑体" w:cs="黑体"/>
          <w:b/>
          <w:bCs/>
          <w:lang w:val="en-US" w:eastAsia="zh-CN"/>
        </w:rPr>
        <w:t>申报材料注意事项</w:t>
      </w:r>
    </w:p>
    <w:p w14:paraId="39081B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cs="仿宋"/>
          <w:lang w:val="en-US" w:eastAsia="zh-CN"/>
        </w:rPr>
      </w:pPr>
      <w:r>
        <w:rPr>
          <w:rFonts w:hint="eastAsia" w:ascii="仿宋" w:hAnsi="仿宋" w:cs="仿宋"/>
          <w:lang w:val="en-US" w:eastAsia="zh-CN"/>
        </w:rPr>
        <w:t>1.确定专业分组，在数字化、变电、储能、输电、配电、计量与用电、安全工器具、系统运行（继电保护、自动化、通信、方式等）、供应链、基建中选择一类作为技术的专业分组。</w:t>
      </w:r>
    </w:p>
    <w:p w14:paraId="66A3FB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cs="仿宋"/>
          <w:lang w:val="en-US" w:eastAsia="zh-CN"/>
        </w:rPr>
      </w:pPr>
      <w:r>
        <w:rPr>
          <w:rFonts w:hint="eastAsia" w:ascii="仿宋" w:hAnsi="仿宋" w:cs="仿宋"/>
          <w:lang w:val="en-US" w:eastAsia="zh-CN"/>
        </w:rPr>
        <w:t>2.确定新技术载体，新技术载体决定通过形式审查是否需要鉴定报告，在设备类，工器具类，软件类选择一类作为技术的新技术载体。</w:t>
      </w:r>
    </w:p>
    <w:p w14:paraId="682FD9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cs="仿宋"/>
          <w:lang w:val="en-US" w:eastAsia="zh-CN"/>
        </w:rPr>
      </w:pPr>
      <w:r>
        <w:rPr>
          <w:rFonts w:hint="eastAsia" w:ascii="仿宋" w:hAnsi="仿宋" w:cs="仿宋"/>
          <w:lang w:val="en-US" w:eastAsia="zh-CN"/>
        </w:rPr>
        <w:t>3.明确划分技术来源，在公司自主创新成果、公司系统外供应商技术选择一类作为技术来源。</w:t>
      </w:r>
    </w:p>
    <w:p w14:paraId="53D7E2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cs="仿宋"/>
          <w:lang w:val="en-US" w:eastAsia="zh-CN"/>
        </w:rPr>
      </w:pPr>
      <w:r>
        <w:rPr>
          <w:rFonts w:hint="eastAsia" w:ascii="仿宋" w:hAnsi="仿宋" w:cs="仿宋"/>
          <w:lang w:val="en-US" w:eastAsia="zh-CN"/>
        </w:rPr>
        <w:t>4.推广应用目录汇报材料按照模板准备初稿即可。</w:t>
      </w:r>
    </w:p>
    <w:p w14:paraId="3A5E47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 w:hAnsi="仿宋" w:cs="仿宋"/>
          <w:lang w:val="en-US" w:eastAsia="zh-CN"/>
        </w:rPr>
        <w:t>5.全生命周期技术、采购、运维标准规范应根据新技术具体类别，在挂网试运行期间制定并提交产品应具备的相关技术标准、规范。若已有相关通用标准，可提交技术依据的已发布的国家、行业、南网企业标准。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30267">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C58C7A">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C58C7A">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EF3749"/>
    <w:multiLevelType w:val="singleLevel"/>
    <w:tmpl w:val="14EF3749"/>
    <w:lvl w:ilvl="0" w:tentative="0">
      <w:start w:val="1"/>
      <w:numFmt w:val="chineseCounting"/>
      <w:suff w:val="nothing"/>
      <w:lvlText w:val="（%1）"/>
      <w:lvlJc w:val="left"/>
      <w:pPr>
        <w:ind w:left="0"/>
      </w:pPr>
      <w:rPr>
        <w:rFonts w:hint="eastAsia"/>
      </w:rPr>
    </w:lvl>
  </w:abstractNum>
  <w:abstractNum w:abstractNumId="1">
    <w:nsid w:val="7530D6E1"/>
    <w:multiLevelType w:val="singleLevel"/>
    <w:tmpl w:val="7530D6E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NjhiMTY3YjQwNjEyZDA0ODliODkxMGRmZTAwNDEifQ=="/>
  </w:docVars>
  <w:rsids>
    <w:rsidRoot w:val="13E80D2C"/>
    <w:rsid w:val="007867EF"/>
    <w:rsid w:val="01D92FDA"/>
    <w:rsid w:val="02775BC8"/>
    <w:rsid w:val="02B114AD"/>
    <w:rsid w:val="02E4164F"/>
    <w:rsid w:val="07F733B0"/>
    <w:rsid w:val="0A8305A2"/>
    <w:rsid w:val="0B7F6CE2"/>
    <w:rsid w:val="0E4341C7"/>
    <w:rsid w:val="0EC11854"/>
    <w:rsid w:val="0ED6529E"/>
    <w:rsid w:val="0ED96B1A"/>
    <w:rsid w:val="10654B09"/>
    <w:rsid w:val="13387184"/>
    <w:rsid w:val="13E80D2C"/>
    <w:rsid w:val="15D63DC9"/>
    <w:rsid w:val="16A51251"/>
    <w:rsid w:val="1A1616E2"/>
    <w:rsid w:val="1ACF1D84"/>
    <w:rsid w:val="1AD07C7F"/>
    <w:rsid w:val="1DDF45E7"/>
    <w:rsid w:val="21585FC4"/>
    <w:rsid w:val="22EA1B3B"/>
    <w:rsid w:val="24CC67BB"/>
    <w:rsid w:val="255C6A35"/>
    <w:rsid w:val="25F71CE2"/>
    <w:rsid w:val="266C0DEE"/>
    <w:rsid w:val="29EF0D58"/>
    <w:rsid w:val="2CF91D38"/>
    <w:rsid w:val="2DC821CA"/>
    <w:rsid w:val="3276154B"/>
    <w:rsid w:val="38EC7CF6"/>
    <w:rsid w:val="3A4803B5"/>
    <w:rsid w:val="3ADC6F09"/>
    <w:rsid w:val="3CC7192C"/>
    <w:rsid w:val="3D2D6854"/>
    <w:rsid w:val="3EAB1E08"/>
    <w:rsid w:val="3F855E32"/>
    <w:rsid w:val="402F7480"/>
    <w:rsid w:val="41513996"/>
    <w:rsid w:val="4174097B"/>
    <w:rsid w:val="41AA39C1"/>
    <w:rsid w:val="41E247C2"/>
    <w:rsid w:val="45FA34EB"/>
    <w:rsid w:val="46115F70"/>
    <w:rsid w:val="46160907"/>
    <w:rsid w:val="472F64E0"/>
    <w:rsid w:val="47D27AF6"/>
    <w:rsid w:val="49AB2AE7"/>
    <w:rsid w:val="4E645E00"/>
    <w:rsid w:val="516F4FA5"/>
    <w:rsid w:val="5177128E"/>
    <w:rsid w:val="52E141D6"/>
    <w:rsid w:val="55627360"/>
    <w:rsid w:val="573818BD"/>
    <w:rsid w:val="596D6420"/>
    <w:rsid w:val="5F360BD6"/>
    <w:rsid w:val="620444E4"/>
    <w:rsid w:val="621F41B9"/>
    <w:rsid w:val="638E2378"/>
    <w:rsid w:val="648B2C26"/>
    <w:rsid w:val="679F10B6"/>
    <w:rsid w:val="68042900"/>
    <w:rsid w:val="688E7615"/>
    <w:rsid w:val="6B513D15"/>
    <w:rsid w:val="6B89754F"/>
    <w:rsid w:val="6BA71D81"/>
    <w:rsid w:val="6E3B0989"/>
    <w:rsid w:val="70AC4064"/>
    <w:rsid w:val="72DF7D38"/>
    <w:rsid w:val="73CA3C76"/>
    <w:rsid w:val="75EF4F1B"/>
    <w:rsid w:val="79493970"/>
    <w:rsid w:val="79C97153"/>
    <w:rsid w:val="7ABF0D10"/>
    <w:rsid w:val="7BB7631A"/>
    <w:rsid w:val="7D233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 w:asciiTheme="minorAscii" w:hAnsiTheme="minorAscii" w:cstheme="minorBidi"/>
      <w:kern w:val="2"/>
      <w:sz w:val="32"/>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widowControl/>
      <w:adjustRightInd w:val="0"/>
      <w:snapToGrid w:val="0"/>
      <w:spacing w:before="240" w:after="60" w:line="560" w:lineRule="exact"/>
      <w:jc w:val="left"/>
      <w:outlineLvl w:val="0"/>
    </w:pPr>
    <w:rPr>
      <w:rFonts w:ascii="仿宋_GB2312" w:hAnsi="Calibri" w:eastAsia="仿宋_GB2312" w:cs="Times New Roman"/>
      <w:color w:val="FF0000"/>
      <w:spacing w:val="-3"/>
      <w:kern w:val="0"/>
      <w:sz w:val="24"/>
      <w:szCs w:val="32"/>
      <w:lang w:val="en-US" w:eastAsia="zh-CN" w:bidi="ar-SA"/>
    </w:rPr>
  </w:style>
  <w:style w:type="paragraph" w:styleId="3">
    <w:name w:val="Title"/>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Hyperlink"/>
    <w:basedOn w:val="10"/>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1579</Words>
  <Characters>1596</Characters>
  <Lines>0</Lines>
  <Paragraphs>0</Paragraphs>
  <TotalTime>6</TotalTime>
  <ScaleCrop>false</ScaleCrop>
  <LinksUpToDate>false</LinksUpToDate>
  <CharactersWithSpaces>1596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2021-03-21T03:57:00Z</dcterms:created>
  <dc:creator>罗炜</dc:creator>
  <cp:lastModifiedBy>梁琮源</cp:lastModifiedBy>
  <dcterms:modified xsi:type="dcterms:W3CDTF">2026-02-25T02:42:30Z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3182D52CA58E4A80A73AA1BF89515309</vt:lpwstr>
  </property>
  <property fmtid="{D5CDD505-2E9C-101B-9397-08002B2CF9AE}" pid="4" name="KSOTemplateDocerSaveRecord">
    <vt:lpwstr>eyJoZGlkIjoiNDcwYWUxZTY2MWIxN2RkOGExMTZiNDBlNGI1NjUwZDciLCJ1c2VySWQiOiIxNjU1MjQwMzA3In0=</vt:lpwstr>
  </property>
</Properties>
</file>